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7C" w:rsidRPr="00215393" w:rsidRDefault="009E297C" w:rsidP="009E297C">
      <w:pPr>
        <w:pStyle w:val="a3"/>
        <w:ind w:left="0" w:firstLine="450"/>
        <w:jc w:val="center"/>
        <w:rPr>
          <w:b/>
          <w:color w:val="333333"/>
          <w:sz w:val="24"/>
          <w:szCs w:val="24"/>
          <w:lang w:eastAsia="uk-UA"/>
        </w:rPr>
      </w:pPr>
      <w:r w:rsidRPr="00215393">
        <w:rPr>
          <w:b/>
          <w:color w:val="333333"/>
          <w:sz w:val="24"/>
          <w:szCs w:val="24"/>
          <w:lang w:eastAsia="uk-UA"/>
        </w:rPr>
        <w:t xml:space="preserve">Додаток </w:t>
      </w:r>
      <w:r>
        <w:rPr>
          <w:b/>
          <w:color w:val="333333"/>
          <w:sz w:val="24"/>
          <w:szCs w:val="24"/>
          <w:lang w:eastAsia="uk-UA"/>
        </w:rPr>
        <w:t>1</w:t>
      </w:r>
    </w:p>
    <w:p w:rsidR="009E297C" w:rsidRPr="00215393" w:rsidRDefault="009E297C" w:rsidP="009E297C">
      <w:pPr>
        <w:pStyle w:val="a3"/>
        <w:ind w:left="0" w:firstLine="450"/>
        <w:jc w:val="center"/>
        <w:rPr>
          <w:b/>
          <w:color w:val="333333"/>
          <w:sz w:val="24"/>
          <w:szCs w:val="24"/>
          <w:lang w:eastAsia="uk-UA"/>
        </w:rPr>
      </w:pPr>
      <w:r>
        <w:rPr>
          <w:b/>
          <w:color w:val="333333"/>
          <w:sz w:val="24"/>
          <w:szCs w:val="24"/>
          <w:lang w:eastAsia="uk-UA"/>
        </w:rPr>
        <w:t xml:space="preserve">Вимоги та рекомендації щодо укладання </w:t>
      </w:r>
      <w:r w:rsidRPr="00215393">
        <w:rPr>
          <w:b/>
          <w:color w:val="333333"/>
          <w:sz w:val="24"/>
          <w:szCs w:val="24"/>
          <w:lang w:eastAsia="uk-UA"/>
        </w:rPr>
        <w:t>договорів</w:t>
      </w:r>
      <w:r>
        <w:rPr>
          <w:b/>
          <w:color w:val="333333"/>
          <w:sz w:val="24"/>
          <w:szCs w:val="24"/>
          <w:lang w:eastAsia="uk-UA"/>
        </w:rPr>
        <w:t xml:space="preserve"> щодо академічної мобільності</w:t>
      </w:r>
    </w:p>
    <w:p w:rsidR="009E297C" w:rsidRPr="00215393" w:rsidRDefault="009E297C" w:rsidP="009E297C">
      <w:pPr>
        <w:pStyle w:val="a3"/>
        <w:ind w:left="0" w:firstLine="450"/>
        <w:rPr>
          <w:b/>
          <w:color w:val="333333"/>
          <w:sz w:val="24"/>
          <w:szCs w:val="24"/>
          <w:lang w:eastAsia="uk-UA"/>
        </w:rPr>
      </w:pPr>
    </w:p>
    <w:p w:rsidR="009E297C" w:rsidRPr="000B5716" w:rsidRDefault="009E297C" w:rsidP="009E297C">
      <w:pPr>
        <w:tabs>
          <w:tab w:val="left" w:pos="900"/>
        </w:tabs>
        <w:ind w:firstLine="426"/>
        <w:jc w:val="both"/>
        <w:rPr>
          <w:color w:val="000000" w:themeColor="text1"/>
        </w:rPr>
      </w:pPr>
      <w:r w:rsidRPr="000B5716">
        <w:rPr>
          <w:color w:val="000000" w:themeColor="text1"/>
        </w:rPr>
        <w:t>Договори для реалізації академічної мобільності:</w:t>
      </w:r>
    </w:p>
    <w:p w:rsidR="009E297C" w:rsidRPr="000B5716" w:rsidRDefault="009E297C" w:rsidP="009E297C">
      <w:pPr>
        <w:numPr>
          <w:ilvl w:val="1"/>
          <w:numId w:val="1"/>
        </w:numPr>
        <w:tabs>
          <w:tab w:val="left" w:pos="900"/>
        </w:tabs>
        <w:ind w:left="0" w:firstLine="426"/>
        <w:jc w:val="both"/>
        <w:rPr>
          <w:color w:val="000000" w:themeColor="text1"/>
        </w:rPr>
      </w:pPr>
      <w:r w:rsidRPr="000B5716">
        <w:rPr>
          <w:color w:val="000000" w:themeColor="text1"/>
        </w:rPr>
        <w:t>угода про співробітництво між закладами-партнера;</w:t>
      </w:r>
    </w:p>
    <w:p w:rsidR="009E297C" w:rsidRPr="000B5716" w:rsidRDefault="009E297C" w:rsidP="009E297C">
      <w:pPr>
        <w:numPr>
          <w:ilvl w:val="1"/>
          <w:numId w:val="1"/>
        </w:numPr>
        <w:tabs>
          <w:tab w:val="left" w:pos="900"/>
        </w:tabs>
        <w:ind w:left="0" w:firstLine="426"/>
        <w:jc w:val="both"/>
        <w:rPr>
          <w:color w:val="000000" w:themeColor="text1"/>
        </w:rPr>
      </w:pPr>
      <w:r w:rsidRPr="000B5716">
        <w:rPr>
          <w:color w:val="000000" w:themeColor="text1"/>
        </w:rPr>
        <w:t xml:space="preserve">партнерський договір між закладами-партнерами про виконання програми академічної мобільності </w:t>
      </w:r>
      <w:r w:rsidRPr="000B5716">
        <w:rPr>
          <w:color w:val="000000" w:themeColor="text1"/>
          <w:lang w:val="en-US"/>
        </w:rPr>
        <w:t>Inter</w:t>
      </w:r>
      <w:r w:rsidRPr="000B5716">
        <w:rPr>
          <w:color w:val="000000" w:themeColor="text1"/>
        </w:rPr>
        <w:t>-</w:t>
      </w:r>
      <w:r w:rsidRPr="000B5716">
        <w:rPr>
          <w:color w:val="000000" w:themeColor="text1"/>
          <w:lang w:val="en-US"/>
        </w:rPr>
        <w:t>Institutional</w:t>
      </w:r>
      <w:r w:rsidRPr="000B5716">
        <w:rPr>
          <w:color w:val="000000" w:themeColor="text1"/>
        </w:rPr>
        <w:t xml:space="preserve"> </w:t>
      </w:r>
      <w:r w:rsidRPr="000B5716">
        <w:rPr>
          <w:color w:val="000000" w:themeColor="text1"/>
          <w:lang w:val="en-US"/>
        </w:rPr>
        <w:t>Agreement</w:t>
      </w:r>
      <w:r w:rsidRPr="000B5716">
        <w:rPr>
          <w:color w:val="000000" w:themeColor="text1"/>
        </w:rPr>
        <w:t xml:space="preserve"> або Грантова угода за </w:t>
      </w:r>
      <w:proofErr w:type="spellStart"/>
      <w:r w:rsidRPr="000B5716">
        <w:rPr>
          <w:color w:val="000000" w:themeColor="text1"/>
        </w:rPr>
        <w:t>проєктом</w:t>
      </w:r>
      <w:proofErr w:type="spellEnd"/>
      <w:r w:rsidRPr="000B5716">
        <w:rPr>
          <w:color w:val="000000" w:themeColor="text1"/>
        </w:rPr>
        <w:t>;</w:t>
      </w:r>
    </w:p>
    <w:p w:rsidR="009E297C" w:rsidRPr="000B5716" w:rsidRDefault="009E297C" w:rsidP="009E297C">
      <w:pPr>
        <w:numPr>
          <w:ilvl w:val="1"/>
          <w:numId w:val="1"/>
        </w:numPr>
        <w:tabs>
          <w:tab w:val="left" w:pos="900"/>
        </w:tabs>
        <w:ind w:left="0" w:firstLine="426"/>
        <w:jc w:val="both"/>
        <w:rPr>
          <w:color w:val="000000" w:themeColor="text1"/>
        </w:rPr>
      </w:pPr>
      <w:r w:rsidRPr="000B5716">
        <w:rPr>
          <w:color w:val="000000" w:themeColor="text1"/>
        </w:rPr>
        <w:t>індивідуальні договори академічної мобільності учасника академічної мобільності із закладом-партнером та з Університетом (в залежності від форми АМ).</w:t>
      </w:r>
    </w:p>
    <w:p w:rsidR="009E297C" w:rsidRPr="000B5716" w:rsidRDefault="009E297C" w:rsidP="009E297C">
      <w:pPr>
        <w:pStyle w:val="rvps2"/>
        <w:shd w:val="clear" w:color="auto" w:fill="FFFFFF"/>
        <w:spacing w:before="0" w:beforeAutospacing="0" w:after="0" w:afterAutospacing="0"/>
        <w:ind w:firstLine="426"/>
        <w:jc w:val="both"/>
        <w:rPr>
          <w:color w:val="000000" w:themeColor="text1"/>
        </w:rPr>
      </w:pPr>
      <w:r w:rsidRPr="000B5716">
        <w:rPr>
          <w:color w:val="000000" w:themeColor="text1"/>
        </w:rPr>
        <w:t>Для реалізації права на академічну мобільність український та іноземний заклад освіти (наукова установа) або інший український заклад освіти (наукова установа) укладають у письмовій або електронній формі договір між закладами-партнерами про виконання програми академічної мобільності (далі - партнерський договір).</w:t>
      </w:r>
    </w:p>
    <w:p w:rsidR="009E297C" w:rsidRPr="000B5716" w:rsidRDefault="009E297C" w:rsidP="009E297C">
      <w:pPr>
        <w:pStyle w:val="rvps2"/>
        <w:shd w:val="clear" w:color="auto" w:fill="FFFFFF"/>
        <w:spacing w:before="0" w:beforeAutospacing="0" w:after="0" w:afterAutospacing="0"/>
        <w:ind w:firstLine="426"/>
        <w:jc w:val="both"/>
        <w:rPr>
          <w:color w:val="000000" w:themeColor="text1"/>
        </w:rPr>
      </w:pPr>
      <w:bookmarkStart w:id="0" w:name="n97"/>
      <w:bookmarkEnd w:id="0"/>
      <w:r w:rsidRPr="000B5716">
        <w:rPr>
          <w:color w:val="000000" w:themeColor="text1"/>
        </w:rPr>
        <w:t>Укладення договору про співробітництво між закладами-партнерами, а також партнерського договору та договору академічної мобільності в умовах воєнного стану здійснюється в електронній формі з використанням кваліфікованого електронного підпису. У разі неможливості використання кваліфікованого електронного підпису здійснюється обмін листами про намір співробітництва, виконання програми академічної мобільності та підтвердження виконання зобов’язань після завершення або скасування воєнного стану.</w:t>
      </w:r>
    </w:p>
    <w:p w:rsidR="009E297C" w:rsidRPr="000B5716" w:rsidRDefault="009E297C" w:rsidP="009E297C">
      <w:pPr>
        <w:pStyle w:val="rvps2"/>
        <w:shd w:val="clear" w:color="auto" w:fill="FFFFFF"/>
        <w:spacing w:before="0" w:beforeAutospacing="0" w:after="0" w:afterAutospacing="0"/>
        <w:ind w:firstLine="426"/>
        <w:jc w:val="both"/>
        <w:rPr>
          <w:color w:val="000000" w:themeColor="text1"/>
        </w:rPr>
      </w:pPr>
      <w:bookmarkStart w:id="1" w:name="n98"/>
      <w:bookmarkEnd w:id="1"/>
      <w:r w:rsidRPr="000B5716">
        <w:rPr>
          <w:color w:val="000000" w:themeColor="text1"/>
        </w:rPr>
        <w:t>Особа, яку відібрано відповідно до вимог цього Порядку для участі у програмі академічної мобільності, укладає з українським закладом освіти (науковою установою) постійного місця навчання (роботи) договір академічної мобільності.</w:t>
      </w:r>
    </w:p>
    <w:p w:rsidR="009E297C" w:rsidRPr="000B5716" w:rsidRDefault="009E297C" w:rsidP="009E297C">
      <w:pPr>
        <w:ind w:firstLine="426"/>
        <w:jc w:val="both"/>
        <w:rPr>
          <w:color w:val="000000" w:themeColor="text1"/>
        </w:rPr>
      </w:pPr>
      <w:bookmarkStart w:id="2" w:name="n99"/>
      <w:bookmarkEnd w:id="2"/>
      <w:r w:rsidRPr="000B5716">
        <w:rPr>
          <w:color w:val="000000" w:themeColor="text1"/>
        </w:rPr>
        <w:t xml:space="preserve">Статус учасника академічної мобільності відповідно до цього Порядку така особа набуває з моменту прийняття рішення керівника закладу освіти (наукової установи). З цього моменту на таку особу поширюються всі права та обов’язки українського учасника, , а на заклад освіти (наукову установу) постійного місця навчання (роботи) та заклад освіти (наукову установу), що надав запрошення, - всі права та обов’язки, крім фінансування витрат українського учасника, що здійснюється відповідно </w:t>
      </w:r>
      <w:proofErr w:type="spellStart"/>
      <w:r w:rsidRPr="000B5716">
        <w:rPr>
          <w:color w:val="000000" w:themeColor="text1"/>
        </w:rPr>
        <w:t>доПоложення</w:t>
      </w:r>
      <w:proofErr w:type="spellEnd"/>
      <w:r w:rsidRPr="000B5716">
        <w:rPr>
          <w:color w:val="000000" w:themeColor="text1"/>
        </w:rPr>
        <w:t>.</w:t>
      </w:r>
    </w:p>
    <w:p w:rsidR="009E297C" w:rsidRPr="000B5716" w:rsidRDefault="009E297C" w:rsidP="009E297C">
      <w:pPr>
        <w:ind w:firstLine="426"/>
        <w:jc w:val="both"/>
        <w:rPr>
          <w:color w:val="000000" w:themeColor="text1"/>
        </w:rPr>
      </w:pPr>
      <w:r w:rsidRPr="000B5716">
        <w:rPr>
          <w:color w:val="000000" w:themeColor="text1"/>
        </w:rPr>
        <w:t>З метою організації та реалізації права на академічну мобільність будь-якого виду та форми закладами-партнерами в партнерському договорі визначаються:</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мета, завдання, вид та форма, тривалість, строк (у разі потреби етапи) академічної мобільності;</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результати, яких очікується досягти;</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документ, що отримує український та/або іноземний учасник після завершення участі у програмі академічної мобільності;</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права та обов’язки закладів-партнерів;</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критерії відбору учасників академічної мобільності та сторона, що здійснюватиме відбір;</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перелік документів, необхідних для участі у програмі академічної мобільності, вимоги до них, процедура та строк їх подання;</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фінансові умови програми академічної мобільності, умови медичного забезпечення або медичного страхування;</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строк, умови та порядок звітування учасника академічної мобільності під час або після повернення до закладу освіти постійного місця навчання (роботи), порядок визнання результатів академічної мобільності, а також заходи, що вживаються в разі недосягнення мети академічної мобільності та/або невизнання її результатів, виникнення конфліктних або непередбачуваних ситуацій під час участі у програмі академічної мобільності або визнання її результатів;</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строк, умови та порядок ліквідації академічної заборгованості у закладах-партерах (для освітньої академічної мобільності);</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порядок внесення змін до партнерського договору;</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підрозділи закладів-партнерів, що будуть забезпечувати виконання програми академічної мобільності, контактні особи; </w:t>
      </w:r>
    </w:p>
    <w:p w:rsidR="009E297C" w:rsidRPr="000B5716" w:rsidRDefault="009E297C" w:rsidP="009E297C">
      <w:pPr>
        <w:pStyle w:val="a3"/>
        <w:widowControl/>
        <w:numPr>
          <w:ilvl w:val="0"/>
          <w:numId w:val="2"/>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lastRenderedPageBreak/>
        <w:t>інші умови, необхідні для забезпечення досягнення результатів академічної мобільності.</w:t>
      </w:r>
    </w:p>
    <w:p w:rsidR="009E297C" w:rsidRPr="000B5716" w:rsidRDefault="009E297C" w:rsidP="009E297C">
      <w:pPr>
        <w:ind w:firstLine="426"/>
        <w:jc w:val="both"/>
        <w:rPr>
          <w:color w:val="000000" w:themeColor="text1"/>
        </w:rPr>
      </w:pPr>
      <w:bookmarkStart w:id="3" w:name="n152"/>
      <w:bookmarkEnd w:id="3"/>
      <w:r w:rsidRPr="000B5716">
        <w:rPr>
          <w:color w:val="000000" w:themeColor="text1"/>
        </w:rPr>
        <w:t>Для освітньої академічної мобільності обов’язковим є визначення закладами-партнерами в партнерському договорі переліку і змісту освітніх компонентів, порядку вибору додаткових навчальних дисциплін (крім вивчення в закладі-партнері обов’язкових навчальних дисциплін), обсягу навчального навантаження, детального опису оцінювання результатів та їх відображення в додатку до диплома, форми та змісту академічної довідки або інших аналогічних документів, де зазначаються результати академічної мобільності.</w:t>
      </w:r>
    </w:p>
    <w:p w:rsidR="009E297C" w:rsidRPr="000B5716" w:rsidRDefault="009E297C" w:rsidP="009E297C">
      <w:pPr>
        <w:ind w:firstLine="426"/>
        <w:jc w:val="both"/>
        <w:rPr>
          <w:color w:val="000000" w:themeColor="text1"/>
        </w:rPr>
      </w:pPr>
      <w:r w:rsidRPr="000B5716">
        <w:rPr>
          <w:color w:val="000000" w:themeColor="text1"/>
        </w:rPr>
        <w:t xml:space="preserve">У разі укладення партнерського договору в умовах воєнного стану здобувачі освіти (наукового ступеня) попереджаються закладом освіти (науковою установою) постійного місця навчання про можливість </w:t>
      </w:r>
      <w:proofErr w:type="spellStart"/>
      <w:r w:rsidRPr="000B5716">
        <w:rPr>
          <w:color w:val="000000" w:themeColor="text1"/>
        </w:rPr>
        <w:t>перезарахування</w:t>
      </w:r>
      <w:proofErr w:type="spellEnd"/>
      <w:r w:rsidRPr="000B5716">
        <w:rPr>
          <w:color w:val="000000" w:themeColor="text1"/>
        </w:rPr>
        <w:t xml:space="preserve"> неповного обсягу кредитів ЄКТС, отриманих у межах програми внутрішньої академічної мобільності, та необхідність вивчення додаткових освітніх компонентів у закладі освіти (науковій установі) постійного місця навчання для завершення програми підготовки за відповідним освітнім рівнем.</w:t>
      </w:r>
    </w:p>
    <w:p w:rsidR="009E297C" w:rsidRPr="000B5716" w:rsidRDefault="009E297C" w:rsidP="009E297C">
      <w:pPr>
        <w:ind w:firstLine="426"/>
        <w:jc w:val="both"/>
        <w:rPr>
          <w:color w:val="000000" w:themeColor="text1"/>
        </w:rPr>
      </w:pPr>
      <w:r w:rsidRPr="000B5716">
        <w:rPr>
          <w:color w:val="000000" w:themeColor="text1"/>
        </w:rPr>
        <w:t>У разі коли під час участі у програмі академічної мобільності виникають ситуації, неврегульовані партнерським договором, вони можуть визначатися в договорі академічної мобільності між учасником та закладом-партнером постійного місця навчання, якщо не зачіпаються інтереси іншого закладу-партнера, і за погодженням із закладом-партнером, якщо його інтереси зачіпаються.</w:t>
      </w:r>
    </w:p>
    <w:p w:rsidR="009E297C" w:rsidRPr="000B5716" w:rsidRDefault="009E297C" w:rsidP="009E297C">
      <w:pPr>
        <w:ind w:firstLine="426"/>
        <w:jc w:val="both"/>
        <w:rPr>
          <w:color w:val="000000" w:themeColor="text1"/>
        </w:rPr>
      </w:pPr>
      <w:r w:rsidRPr="000B5716">
        <w:rPr>
          <w:color w:val="000000" w:themeColor="text1"/>
        </w:rPr>
        <w:t xml:space="preserve">У разі залучення до виконання програми академічної мобільності фінансової або іншої підтримки сторонніх організацій або на умовах </w:t>
      </w:r>
      <w:proofErr w:type="spellStart"/>
      <w:r w:rsidRPr="000B5716">
        <w:rPr>
          <w:color w:val="000000" w:themeColor="text1"/>
        </w:rPr>
        <w:t>співфінансування</w:t>
      </w:r>
      <w:proofErr w:type="spellEnd"/>
      <w:r w:rsidRPr="000B5716">
        <w:rPr>
          <w:color w:val="000000" w:themeColor="text1"/>
        </w:rPr>
        <w:t>, у тому числі міжнародними організаціями (крім закладу-партнера), така організація є третьою стороною під час укладання партнерського договору.</w:t>
      </w:r>
    </w:p>
    <w:p w:rsidR="009E297C" w:rsidRPr="000B5716" w:rsidRDefault="009E297C" w:rsidP="009E297C">
      <w:pPr>
        <w:ind w:firstLine="426"/>
        <w:jc w:val="both"/>
        <w:rPr>
          <w:color w:val="000000" w:themeColor="text1"/>
        </w:rPr>
      </w:pPr>
      <w:r w:rsidRPr="000B5716">
        <w:rPr>
          <w:color w:val="000000" w:themeColor="text1"/>
        </w:rPr>
        <w:t>У договорі академічної мобільності, що укладається між особою, яку відібрано відповідно вимог цього Порядку для участі у програмі академічної мобільності, та українським закладом освіти (науковою установою) постійного місця навчання, зазначаються:</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реквізити паспорта громадянина України, документа, що посвідчує особу іноземця або особу без громадянства, та довідки про присвоєння йому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карти платника податків та офіційно повідомили про це відповідному контролюючому органу і мають відмітку в паспорті);</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мета, завдання, вид та форма, тривалість, строк (у разі потреби етапи); результати, яких очікується досягти; документ, що отримує учасник після завершення участі у програмі академічної мобільності; перелік та зміст освітніх компонентів, обсяг навчального навантаження, детальний опис оцінювання результатів та їх відображення в додатку до диплома (для освітньої академічної мобільності);</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права та обов’язки сторін;</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фінансові умови програми академічної мобільності, умови медичного забезпечення або медичного страхування;</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строк, умови та порядок звітування під час або після повернення до українського закладу-партнера, визнання результатів академічної мобільності, а також заходи, що вживатимуться в разі недосягнення цілей академічної мобільності або невизнання її результатів;</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порядок вибору додаткових навчальних дисциплін (крім вивчення в закладі-партнері обов’язкових навчальних дисциплін) для освітньої академічної мобільності;</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строк, умови та порядок ліквідації академічної заборгованості, у тому числі в закладі-партнері;</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порядок внесення змін до договору академічної мобільності;</w:t>
      </w:r>
    </w:p>
    <w:p w:rsidR="009E297C" w:rsidRPr="000B5716" w:rsidRDefault="009E297C" w:rsidP="009E297C">
      <w:pPr>
        <w:pStyle w:val="a3"/>
        <w:widowControl/>
        <w:numPr>
          <w:ilvl w:val="0"/>
          <w:numId w:val="3"/>
        </w:numPr>
        <w:autoSpaceDE/>
        <w:autoSpaceDN/>
        <w:ind w:left="0" w:firstLine="426"/>
        <w:contextualSpacing/>
        <w:rPr>
          <w:color w:val="000000" w:themeColor="text1"/>
          <w:sz w:val="24"/>
          <w:szCs w:val="24"/>
          <w:lang w:eastAsia="uk-UA"/>
        </w:rPr>
      </w:pPr>
      <w:r w:rsidRPr="000B5716">
        <w:rPr>
          <w:color w:val="000000" w:themeColor="text1"/>
          <w:sz w:val="24"/>
          <w:szCs w:val="24"/>
          <w:lang w:eastAsia="uk-UA"/>
        </w:rPr>
        <w:t>інші умови, необхідні для забезпечення досягнення результатів академічної мобільності.</w:t>
      </w:r>
    </w:p>
    <w:p w:rsidR="009E297C" w:rsidRPr="000B5716" w:rsidRDefault="009E297C" w:rsidP="009E297C">
      <w:pPr>
        <w:ind w:firstLine="426"/>
        <w:jc w:val="both"/>
        <w:rPr>
          <w:color w:val="000000" w:themeColor="text1"/>
        </w:rPr>
      </w:pPr>
      <w:r w:rsidRPr="000B5716">
        <w:rPr>
          <w:color w:val="000000" w:themeColor="text1"/>
        </w:rPr>
        <w:t xml:space="preserve">Договір академічної мобільності, що укладається під час реалізації будь-якого виду чи форми академічної мобільності українським учасником, який навчається на підставі державного (регіонального) замовлення, в обов’язковому порядку повинен містити вимогу </w:t>
      </w:r>
      <w:r w:rsidRPr="000B5716">
        <w:rPr>
          <w:color w:val="000000" w:themeColor="text1"/>
        </w:rPr>
        <w:lastRenderedPageBreak/>
        <w:t xml:space="preserve">щодо </w:t>
      </w:r>
      <w:proofErr w:type="spellStart"/>
      <w:r w:rsidRPr="000B5716">
        <w:rPr>
          <w:color w:val="000000" w:themeColor="text1"/>
        </w:rPr>
        <w:t>незбільшення</w:t>
      </w:r>
      <w:proofErr w:type="spellEnd"/>
      <w:r w:rsidRPr="000B5716">
        <w:rPr>
          <w:color w:val="000000" w:themeColor="text1"/>
        </w:rPr>
        <w:t xml:space="preserve"> строку здобуття відповідного освітнього, </w:t>
      </w:r>
      <w:proofErr w:type="spellStart"/>
      <w:r w:rsidRPr="000B5716">
        <w:rPr>
          <w:color w:val="000000" w:themeColor="text1"/>
        </w:rPr>
        <w:t>освітньо</w:t>
      </w:r>
      <w:proofErr w:type="spellEnd"/>
      <w:r w:rsidRPr="000B5716">
        <w:rPr>
          <w:color w:val="000000" w:themeColor="text1"/>
        </w:rPr>
        <w:t>-наукового/</w:t>
      </w:r>
      <w:proofErr w:type="spellStart"/>
      <w:r w:rsidRPr="000B5716">
        <w:rPr>
          <w:color w:val="000000" w:themeColor="text1"/>
        </w:rPr>
        <w:t>освітньо</w:t>
      </w:r>
      <w:proofErr w:type="spellEnd"/>
      <w:r w:rsidRPr="000B5716">
        <w:rPr>
          <w:color w:val="000000" w:themeColor="text1"/>
        </w:rPr>
        <w:t xml:space="preserve">-творчого рівня або наукового ступеня та в разі невиконання цієї вимоги - продовження строку здобуття освіти такою особою понад нормативний для такого освітнього, </w:t>
      </w:r>
      <w:proofErr w:type="spellStart"/>
      <w:r w:rsidRPr="000B5716">
        <w:rPr>
          <w:color w:val="000000" w:themeColor="text1"/>
        </w:rPr>
        <w:t>освітньо</w:t>
      </w:r>
      <w:proofErr w:type="spellEnd"/>
      <w:r w:rsidRPr="000B5716">
        <w:rPr>
          <w:color w:val="000000" w:themeColor="text1"/>
        </w:rPr>
        <w:t>-наукового/</w:t>
      </w:r>
      <w:proofErr w:type="spellStart"/>
      <w:r w:rsidRPr="000B5716">
        <w:rPr>
          <w:color w:val="000000" w:themeColor="text1"/>
        </w:rPr>
        <w:t>освітньо</w:t>
      </w:r>
      <w:proofErr w:type="spellEnd"/>
      <w:r w:rsidRPr="000B5716">
        <w:rPr>
          <w:color w:val="000000" w:themeColor="text1"/>
        </w:rPr>
        <w:t>-творчого рівня або наукового ступеня за рахунок коштів фізичних (юридичних) осіб.</w:t>
      </w:r>
    </w:p>
    <w:p w:rsidR="009E297C" w:rsidRPr="000B5716" w:rsidRDefault="009E297C" w:rsidP="009E297C">
      <w:pPr>
        <w:ind w:firstLine="426"/>
        <w:jc w:val="both"/>
        <w:rPr>
          <w:color w:val="000000" w:themeColor="text1"/>
        </w:rPr>
      </w:pPr>
      <w:r w:rsidRPr="000B5716">
        <w:rPr>
          <w:color w:val="000000" w:themeColor="text1"/>
        </w:rPr>
        <w:t>У разі коли український учасник є неповнолітньою особою, договір академічної мобільності укладається з одним із його батьків або особою, яка є його законним представником.</w:t>
      </w:r>
    </w:p>
    <w:p w:rsidR="009E297C" w:rsidRPr="000B5716" w:rsidRDefault="009E297C" w:rsidP="009E297C">
      <w:pPr>
        <w:ind w:firstLine="426"/>
        <w:jc w:val="both"/>
        <w:rPr>
          <w:color w:val="000000" w:themeColor="text1"/>
        </w:rPr>
      </w:pPr>
      <w:r w:rsidRPr="000B5716">
        <w:rPr>
          <w:color w:val="000000" w:themeColor="text1"/>
        </w:rPr>
        <w:t>Після укладення договору академічної мобільності керівник українського закладу-партнера видає розпорядчий документ, в якому визначається мета, строк, умови (у тому числі фінансові) програми академічної мобільності українського учасника. Особа набуває статусу українського учасника з дати, визначеної в такому документі.</w:t>
      </w:r>
    </w:p>
    <w:p w:rsidR="009E297C" w:rsidRPr="000B5716" w:rsidRDefault="009E297C" w:rsidP="009E297C">
      <w:pPr>
        <w:tabs>
          <w:tab w:val="left" w:pos="1134"/>
        </w:tabs>
        <w:ind w:firstLine="426"/>
        <w:jc w:val="both"/>
        <w:rPr>
          <w:color w:val="000000" w:themeColor="text1"/>
        </w:rPr>
      </w:pPr>
      <w:r w:rsidRPr="000B5716">
        <w:rPr>
          <w:color w:val="000000" w:themeColor="text1"/>
        </w:rPr>
        <w:t>У разі реалізації відповідно до законодавства українським учасником освітньої академічної мобільності права на академічну відпустку або перерву в навчанні до партнерського договору та договору про академічну мобільність за ініціативою українського закладу освіти (наукової установи) вносяться відповідні зміни.</w:t>
      </w:r>
    </w:p>
    <w:p w:rsidR="009E297C" w:rsidRPr="000B5716" w:rsidRDefault="009E297C" w:rsidP="009E297C">
      <w:pPr>
        <w:pStyle w:val="rvps2"/>
        <w:shd w:val="clear" w:color="auto" w:fill="FFFFFF"/>
        <w:spacing w:before="0" w:beforeAutospacing="0" w:after="0" w:afterAutospacing="0"/>
        <w:ind w:firstLine="426"/>
        <w:jc w:val="both"/>
        <w:rPr>
          <w:color w:val="000000" w:themeColor="text1"/>
        </w:rPr>
      </w:pPr>
      <w:r w:rsidRPr="000B5716">
        <w:rPr>
          <w:color w:val="000000" w:themeColor="text1"/>
        </w:rPr>
        <w:t xml:space="preserve">Не може брати участь у програмі академічної мобільності заклад освіти (наукова установа) з іноземними інвестиціями держави, визнаної в установленому порядку державою-агресором або державою-окупантом, або заклад освіти (наукова установа), зареєстрований на території такої держави, або кінцевий </w:t>
      </w:r>
      <w:proofErr w:type="spellStart"/>
      <w:r w:rsidRPr="000B5716">
        <w:rPr>
          <w:color w:val="000000" w:themeColor="text1"/>
        </w:rPr>
        <w:t>бенефіціарний</w:t>
      </w:r>
      <w:proofErr w:type="spellEnd"/>
      <w:r w:rsidRPr="000B5716">
        <w:rPr>
          <w:color w:val="000000" w:themeColor="text1"/>
        </w:rPr>
        <w:t xml:space="preserve"> власник (контролер) якого є резидентом держави-агресора або держави-окупанта, або у разі, коли іноземний заклад освіти (наукова установа) має постійне місцезнаходження на території держави-агресора, держави-окупанта або держави, що не визнає тимчасово окуповані території такими, що належать Україні.</w:t>
      </w:r>
    </w:p>
    <w:p w:rsidR="009E297C" w:rsidRPr="000B5716" w:rsidRDefault="009E297C" w:rsidP="009E297C">
      <w:pPr>
        <w:pStyle w:val="rvps2"/>
        <w:shd w:val="clear" w:color="auto" w:fill="FFFFFF"/>
        <w:spacing w:before="0" w:beforeAutospacing="0" w:after="0" w:afterAutospacing="0"/>
        <w:ind w:firstLine="426"/>
        <w:jc w:val="both"/>
        <w:rPr>
          <w:color w:val="000000" w:themeColor="text1"/>
        </w:rPr>
      </w:pPr>
      <w:bookmarkStart w:id="4" w:name="n78"/>
      <w:bookmarkEnd w:id="4"/>
      <w:r w:rsidRPr="000B5716">
        <w:rPr>
          <w:color w:val="000000" w:themeColor="text1"/>
        </w:rPr>
        <w:t>Не можуть брати участь у програмі академічної мобільності громадяни держави, визнаної в установленому порядку державою-агресором або державою-окупантом, або держави, що не визнає тимчасово окуповані території такими, що належать Україні.</w:t>
      </w:r>
    </w:p>
    <w:p w:rsidR="000B2633" w:rsidRDefault="000B2633">
      <w:bookmarkStart w:id="5" w:name="_GoBack"/>
      <w:bookmarkEnd w:id="5"/>
    </w:p>
    <w:sectPr w:rsidR="000B26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66"/>
    <w:multiLevelType w:val="hybridMultilevel"/>
    <w:tmpl w:val="CA0474E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2EB811B6"/>
    <w:multiLevelType w:val="hybridMultilevel"/>
    <w:tmpl w:val="203846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B238EA"/>
    <w:multiLevelType w:val="hybridMultilevel"/>
    <w:tmpl w:val="5B72B53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C"/>
    <w:rsid w:val="000B2633"/>
    <w:rsid w:val="009E2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80943-2A77-4EED-84B6-A784BB4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7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E297C"/>
    <w:pPr>
      <w:spacing w:before="100" w:beforeAutospacing="1" w:after="100" w:afterAutospacing="1"/>
    </w:pPr>
  </w:style>
  <w:style w:type="paragraph" w:styleId="a3">
    <w:name w:val="List Paragraph"/>
    <w:basedOn w:val="a"/>
    <w:uiPriority w:val="34"/>
    <w:qFormat/>
    <w:rsid w:val="009E297C"/>
    <w:pPr>
      <w:widowControl w:val="0"/>
      <w:autoSpaceDE w:val="0"/>
      <w:autoSpaceDN w:val="0"/>
      <w:ind w:left="116" w:firstLine="538"/>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5979</Words>
  <Characters>3409</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2023-02-18T20:38:00Z</dcterms:created>
  <dcterms:modified xsi:type="dcterms:W3CDTF">2023-02-18T20:39:00Z</dcterms:modified>
</cp:coreProperties>
</file>